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Finspång kommunfullmäktige</w:t>
      </w:r>
    </w:p>
    <w:p>
      <w:pPr>
        <w:pStyle w:val="Heading1"/>
      </w:pPr>
      <w:r>
        <w:t xml:space="preserve">Snabbare tillstånd och bättre företagsklimat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Finspång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Finspång rankas 187 i Svenskt Näringslivs företagsklimat 2025. Handläggningstider för bygglov är i genomsnitt 18 veckor.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Finspång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 portal för tillstånd införs med max 8 veckors handläggning.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näringslivsdialog hålls kvartalsvis med större företag som Siemens Energy.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för småföretagare avsätts i detaljplan vid Finspångs industriområde.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rankingrapport presenteras i kommunfullmäktige.</w:t>
      </w:r>
    </w:p>
    <w:p>
      <w:pPr>
        <w:spacing w:before="360"/>
      </w:pPr>
    </w:p>
    <w:p>
      <w:r>
        <w:t xml:space="preserve">Finspång,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Finspång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2026-06-06T01:48:21.633Z</dcterms:created>
  <dcterms:modified xsi:type="dcterms:W3CDTF">2026-06-06T01:48:21.633Z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